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49</w:t>
      </w:r>
    </w:p>
    <w:p>
      <w:r>
        <w:t>Bundesgericht (BGE), 2018-01-01, DE</w:t>
      </w:r>
    </w:p>
    <w:p>
      <w:r>
        <w:rPr>
          <w:b/>
        </w:rPr>
        <w:t xml:space="preserve">Quelle: </w:t>
      </w:r>
      <w:r>
        <w:t>https://mcp.opencaselaw.ch/entscheid/bge_144 IV 49</w:t>
      </w:r>
    </w:p>
    <w:p>
      <w:r>
        <w:t>FR: ATF 144 IV 49</w:t>
      </w:r>
    </w:p>
    <w:p>
      <w:r>
        <w:t>IT: DTF 144 IV 49</w:t>
      </w:r>
    </w:p>
    <w:p>
      <w:pPr>
        <w:pStyle w:val="Heading2"/>
      </w:pPr>
      <w:r>
        <w:t>Regeste</w:t>
      </w:r>
    </w:p>
    <w:p>
      <w:r>
        <w:t>Regeste Art. 30 Abs. 1 StGB, Art. 144 StGB, Art. 306 Abs. 3 OR; Strafantragsrecht des Entlehners wegen Sachbeschädigung. Bei nicht höchstpersönlichen Rechtsgütern ist neben dem Träger des angegriffenen Rechtsguts auch derjenige strafantragsberechtigt, in dessen Rechtskreis die Tat unmittelbar eingreift oder dem eine besondere Verantwortung für die Erhaltung des Gegenstandes obliegt (E. 1.2). Der Entlehner eines Fahrzeugs ist bei bestimmungsgemässem Gebrauch nur dann zum Strafantrag berechtigt, wenn er durch die Beschädigung in der Benutzung des ihm geliehenen Fahrzeugs beeinträchtigt wurde (E. 1.3).</w:t>
      </w:r>
    </w:p>
    <w:p>
      <w:pPr>
        <w:pStyle w:val="Heading2"/>
      </w:pPr>
      <w:r>
        <w:t>Erwägungen</w:t>
      </w:r>
    </w:p>
    <w:p>
      <w:r>
        <w:rPr>
          <w:b/>
        </w:rPr>
        <w:t>E. 1.1</w:t>
      </w:r>
    </w:p>
    <w:p>
      <w:r>
        <w:t>Der Beschwerdeführer rügt, es liege kein gültiger Strafantrag vor, zumal dieser nicht von der Eigentümerin (B.), sondern von der Lenkerin des Fahrzeugs (A.) gestellt worden sei. Die Vorinstanz erwägt hierzu, das Strafantragsrecht stehe auch der Person zu, der eine Sache nur zur Miete oder Gebrauchsleihe überlassen worden sei. Innerhalb der gesetzlichen Frist habe nur A. einen Strafantrag gestellt.</w:t>
      </w:r>
    </w:p>
    <w:p>
      <w:r>
        <w:rPr>
          <w:b/>
        </w:rPr>
        <w:t>E. 1.2</w:t>
      </w:r>
    </w:p>
    <w:p>
      <w:r>
        <w:t>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 Die Antragsberechtigung gemäss Art. 30 Abs. 1 StGB richtet sich nach dem Träger des angegriffenen Rechtsgutes. Handelt es sich nicht um höchstpersönliche Rechtsgüter, kann auch derjenige im Sinne von Art. 30 Abs. 1 StGB verletzt sein, in dessen Rechtskreis die Tat unmittelbar eingreift, sowie derjenige, dem eine besondere Verantwortung für die Erhaltung des Gegenstandes obliegt. Hinsichtlich der Sachbeschädigung hat das Bundesgericht die Antragsberechtigung in diesem Sinne auch auf den Mieter bzw. jeden Berechtigten, der die Sache nicht mehr gebrauchen kann, ausgedehnt. Ebenso hat es angenommen, das Strafantragsrecht stehe bei einem Aneignungsdelikt, sofern dieses nur auf Antrag verfolgt wird, auch anderen Berechtigten zu, deren Interessen am Gebrauch der Sache durch die Wegnahme derselben unmittelbar beeinträchtigt wurden ( BGE 118 IV 209 E. 3b; BGE 121 IV 258 E. 2b; je mit Hinweisen; zum Strafantragsrecht des Mieters eines Autos TRECHSEL/JEAN-RICHARD, in: Schweizerisches Strafgesetzbuch, Praxiskommentar, Trechsel/Pieth [Hrsg.], 3. Aufl. 2018, N. 2 zu Art. 30 StGB mit Hinweis auf SJZ 57/1961 S. 176).</w:t>
      </w:r>
    </w:p>
    <w:p>
      <w:r>
        <w:rPr>
          <w:b/>
        </w:rPr>
        <w:t>E. 1.3</w:t>
      </w:r>
    </w:p>
    <w:p>
      <w:r>
        <w:t>Die angeblich durch den Beschwerdeführer verursachte Delle hinderte A. nicht daran, ihre Fahrt fortzusetzen. Sie war in der Benutzung des ihr geliehenen Fahrzeugs in keiner Weise beeinträchtigt. Für den Zufall haftet A. als Entlehnerin nur bei nicht bestimmungsgemässen Gebrauch ( Art. 306 Abs. 3 OR ), weshalb ihr auch keine besondere Verantwortung für die Erhaltung der Sache zukommt. Sie ist demnach nicht berechtigt, Strafantrag zu stellen.</w:t>
      </w:r>
    </w:p>
    <w:p>
      <w:r>
        <w:rPr>
          <w:b/>
        </w:rPr>
        <w:t>E. 1.4</w:t>
      </w:r>
    </w:p>
    <w:p>
      <w:r>
        <w:t>Die Vorinstanz liess die Frage offen, ob A. den Strafantrag als bevollmächtigte Vertreterin ihrer Mutter stellte. Dies ist zu verneinen. BGE 144 IV 49 S. 52 Selbst wenn eine gültige Vollmacht vorliegen sollte, handelte A. ausschliesslich in ihrem eigenen Namen; von der im ihr vorgelegten Formular vorgesehenen Möglichkeit, auf ein allfälliges Stellvertretungsverhältnis hinzuweisen, machte sie keinen Gebrauch.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